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6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36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36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36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36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36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36"/>
        <w:ind w:left="453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28.01.2026  № 22-НПА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6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36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1.7-2026-ПО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«Оказание услуг и (или) выполнение работ по оценке технического состояния, разработке проектной документации на проведение капитального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ремонта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Федерации»»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Новосибирск, 2026 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РКПО) – министерство жилищно-коммунального хозяйства и энергетики Новосибирской области.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1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>
        <w:tblPrEx/>
        <w:trPr>
          <w:trHeight w:val="852"/>
        </w:trPr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pStyle w:val="736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4" w:type="dxa"/>
            <w:vAlign w:val="center"/>
            <w:textDirection w:val="lrTb"/>
            <w:noWrap w:val="false"/>
          </w:tcPr>
          <w:p>
            <w:pPr>
              <w:pStyle w:val="736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2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1. Сведения об органе по ведению реестра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852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2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mingkh@nso.ru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62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 (383) 238-76-53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51"/>
        </w:trPr>
        <w:tc>
          <w:tcPr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Оказание услуг и (или) выполнение работ по оценке технического состояния, разработке проектной документации на проведение капитальног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о ремонта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1.7-2026-ПО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160"/>
        </w:trPr>
        <w:tc>
          <w:tcPr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52"/>
        </w:trPr>
        <w:tc>
          <w:tcPr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52"/>
        </w:trPr>
        <w:tc>
          <w:tcPr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42"/>
        </w:trPr>
        <w:tc>
          <w:tcPr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02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42"/>
        </w:trPr>
        <w:tc>
          <w:tcPr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25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70"/>
        </w:trPr>
        <w:tc>
          <w:tcPr>
            <w:tcW w:w="697" w:type="dxa"/>
            <w:textDirection w:val="lrTb"/>
            <w:noWrap w:val="false"/>
          </w:tcPr>
          <w:p>
            <w:pPr>
              <w:pStyle w:val="73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36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36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11 марта 2026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736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</w:p>
    <w:p>
      <w:pPr>
        <w:pStyle w:val="736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23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07"/>
        <w:gridCol w:w="6615"/>
      </w:tblGrid>
      <w:tr>
        <w:tblPrEx/>
        <w:trPr>
          <w:trHeight w:val="6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36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5" w:type="dxa"/>
            <w:textDirection w:val="lrTb"/>
            <w:noWrap w:val="false"/>
          </w:tcPr>
          <w:p>
            <w:pPr>
              <w:pStyle w:val="736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36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5" w:type="dxa"/>
            <w:textDirection w:val="lrTb"/>
            <w:noWrap w:val="false"/>
          </w:tcPr>
          <w:p>
            <w:pPr>
              <w:pStyle w:val="736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Общие требования к выполнению работ (услуг) 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5" w:type="dxa"/>
            <w:textDirection w:val="lrTb"/>
            <w:noWrap w:val="false"/>
          </w:tcPr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1. Работы осуществляются на основании предоставленной заказчиком электронного аукциона (далее – Заказчик) исходно-разрешительной документации: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 Технический паспорт БТИ (при наличии);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 Протокол общего собрания (или решения органа местного самоуправления);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 Техническое задание органа, ответственного за сохранность объекта культурного наследия (при необходимости).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2. Работы осуществляются на основании предоставленной органом местного самоуправления исходно-разрешительной документации: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Информация об управляющей организации.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3. Работы осуществляются на основании иной полученной подрядной организацией исходно-разрешительной документации, необходимой для выполнения работ по проектированию: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-требование органов местного самоуправления о цвете и материале (при необходимости) кровельного покрытия;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-сведения о разграничении зон общего имущества многоквартирного дома (далее – МКД);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-справка ресурсоснабжающей организации о давлении в системах водоснабжения, температуре теплоносителя и давлении в системе теплоснабжения;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-другая недостающая исходно-разрешительная документация, необходимая для выполнения проектных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2. Проектно-сметная документация разрабатывается в объёме, необходимом для проведения капитального ремонта общего имущества МКД в соответствии со следующими нормами действующего законодательства Российской Федерации: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Градостроительный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Земельный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Жилищный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</w:t>
            </w:r>
            <w:hyperlink r:id="rId18" w:tooltip="http://docs.cntd.ru/document/902192610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highlight w:val="white"/>
                </w:rPr>
                <w:t xml:space="preserve">Федеральный закон от 30.12.2009г. № 384-Ф3 «Технический регламент о безопасности зданий и сооружений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»;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</w:t>
            </w:r>
            <w:hyperlink r:id="rId19" w:tooltip="http://docs.cntd.ru/document/902186281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highlight w:val="white"/>
                </w:rPr>
                <w:t xml:space="preserve">Федеральный закон от 23.11.2009 г. № 261-ФЗ «Об энергосбережении и о повышении энергетической эффективности, и о внесении изменений в отдельные законодательные акты Российской Федерации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»;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Федеральный закон РФ от 27.12.2002г. №184-ФЗ «О техническом регулировании»;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Федеральный закон РФ от 22.07.2008 №123-ФЗ «Технический регламент о требованиях пожарной безопасности»;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Федеральный закон РФ от 25.06.2002г. №73-ФЗ «Об объектах культурного наследия (памятниках истории и культуры) народов РФ» (в том числе в части требований к качеству работ и безопасности их проведения);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Постановление Правительства РФ № 87 от 16.02.2008 г. «О составе разделов проектной документации и требованиях к их содержанию»;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ВСН 41-85 (р) Инструкция по разработке проектов организации и проектов производства работ по капитальному ремонту жилых зданий;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17.13330.2017 Кровли;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70.13330.2012 Несущие и ограждающие конструкции;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20.13330.2016 Нагрузки и воздействия;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54.13330.2022 Здания жилые многоквартирные;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71.13330.2017 Изоляционные и отделочные покрытия;</w:t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15.13330.2020 Каменные и армокаменные конструкции;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16.13330.2017 Стальные конструкции;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64.13330.2017 Деревянные конструкции;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63.13330.2018 Бетонные и железобетонные конструкции. Основные положения;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29.13330.2011 Полы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82-101-98 Приготовление и применение растворов строительных;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ГОСТ 33083-2014 Смеси сухие строительные на цементном вяжущем для штукатурных работ;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256.1325800.2016 «Электроустановки жилых и общественных зданий. Правила проектирования и монтажа»;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31565-2012 «Кабельные изделия. Требования пожарной безопасности»;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СО 153-34.21.122-2003 Инструкция по устройству молниезащиты зданий, сооружений и промышленных коммуникаций;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Р 50571.5.52-2011 Электроустановки низковольтные. Часть 5-52. Выбор и монтаж электрооборудования. Электропроводки;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32395-2020 Щитки распределительные для жилых зданий. Общие технические условия.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32396-2021 Устройства вводно-распределительные для жилых и общественных зданий. Общие технические условия;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Р 50571.5.54-2013 Электроустановки низковольтные. Часть 5-54. Выбор и монтаж электрооборудования. Заземляющие устройства, защитные проводники и защитные проводники уравнивания потенциалов;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Р 50571.16-2019 Электроустановки низковольтные. Часть 6. Испытания;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34819-2021 Приборы осветительные. Светотехнические требования и методы испытаний;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IEC 60598-2-22-2012 Светильники. Часть 2-22. Частные требования. Светильники для аварийного освещения;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IEC 60898-2-2021 Выключатели автоматические для защиты от сверхтоков электроустановок бытового и аналогичного назначения. Часть 2. Выключатели автоматические для переменного и постоянного тока;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21.608-2021 «Система проектной документации для строительства. Правила выполнения рабочей документации внутреннего электрического освещения»;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60.13330.2020 «Отопление, вентиляция и кондиционирование воздуха»;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61.13330.2012 «Тепловая изоляция оборудования и трубопроводов»;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124.13330.2012 «Тепловые сети»;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73.13330.2016 «Внутренние санитарно-технические системы зданий»;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30.13330.2020 «Внутренний водопровод и канализация зданий».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ind w:left="0" w:firstLine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30494-2011 «Здания жилые и общественные. Параметры микроклимата в помещениях»;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34059-2017 Инженерные сети зданий и сооружений внутренние. Устройство систем отопления, горячего и холодного водоснабжения. Общие технические требования»;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21.602-2016 Система проектной документации для строительства (СПДС). Правила выполнения рабочей документации систем отопления, вентиляции и кондиционирования;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ПУЭ 7 Правила устройства электроустановок. Издание 6,7;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ГОСТ Р 21.101-2020 Система проектной документации для строительства. Основные требования к проектной и рабочей документации и другие взаимосвязанные стандарты Системы проектной документации для строительства.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99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ГОСТ Р 55528-2013 «Состав и содержание научно-проектной документации по сохранению объектов культурного наследия» и иные нормативные документы.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3. Принятые в проектно-сметной документации решения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Общие требования к составу и содержанию проектно-сметной документации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5" w:type="dxa"/>
            <w:textDirection w:val="lrTb"/>
            <w:noWrap w:val="false"/>
          </w:tcPr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Разделы и подразделы проектно-сметной документации выполняются в соответствии с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постановлением Правительства Российской Федерации от 16.02.2008г. № 87 «О составе разделов проектной документации и требованиях к их содержанию» в объеме, необходимом для выполнения работ по капитальному ремонту общего имущества МКД.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согласованию с ведомствами и организациями, экспертиза проектно-сметной документации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5" w:type="dxa"/>
            <w:textDirection w:val="lrTb"/>
            <w:noWrap w:val="false"/>
          </w:tcPr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организацией должны быть получены все необходимые согласования и заключения экспертизы проектно-сметной документации.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Требование к календарному плану работ (услуг)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5" w:type="dxa"/>
            <w:textDirection w:val="lrTb"/>
            <w:noWrap w:val="false"/>
          </w:tcPr>
          <w:p>
            <w:pPr>
              <w:pStyle w:val="73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Работы должны проводиться в соответствии с прилагаемым к договору календарным планом. Выполнение работ по календарному плану должно быть поэтапное, и предусматривать ежемесячную сдачу проектно-сметной документации равными частями.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36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0"/>
        </w:num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строительного подряда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2409"/>
        <w:gridCol w:w="6976"/>
      </w:tblGrid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09" w:type="dxa"/>
            <w:vAlign w:val="center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6976" w:type="dxa"/>
            <w:vAlign w:val="center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09" w:type="dxa"/>
            <w:vAlign w:val="center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6976" w:type="dxa"/>
            <w:vAlign w:val="center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 договора строительного подряда (далее – договор)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Предметом договора является выполнение работ по оценке технического состояния, разработке проектной документации на проведение капитального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ремонта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Выполнение работ включает в себя следующий состав работ (услуг):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 Выполнить предварительное обследование объекта с составлением акта обследования;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 Разработать проектную документацию с предоставлением архитектурных решений и основных чертежей: планы, сечения, разрезы со схематическим изображением основных несущих и ограждающих конструкций, способов крепления, узлов, сертификации материалов;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 объем разрабатываемого проекта должны включаться: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 Обмерочные чертежи.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 Отчёт о техническом обследовании, включающий в себя: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характеристика объекта;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выявленные дефекты, скрытые дефекты;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фотографии объекта, дефектов конструкций и последствий;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выводы по результатам обследования.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 Пояснительная записка, включающая в себя: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описание и обоснование принятых технических решений;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производство работ по проведению капитального ремонта существующих систем отопления и горячего водоснабжения;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требования к качеству и приёмке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антикоррозийные мероприятия;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мероприятия по противопожарной безопасности при производстве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техника безопасности строительных работ и охрана труда;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мероприятия по охране окружающей природной среды;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</w:t>
            </w:r>
            <w:r>
              <w:rPr>
                <w:rFonts w:eastAsia="Calibri" w:cs="Arial"/>
                <w:sz w:val="22"/>
                <w:szCs w:val="22"/>
                <w:lang w:val="ru-RU" w:eastAsia="en-US" w:bidi="ar-SA"/>
              </w:rPr>
              <w:t xml:space="preserve"> 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бщие организационные работы.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 Отопление, вентиляция и кондиционирование: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планы;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характерные разрезы и сечения;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ведомость оборудования и материалов;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5. Сметная документация на капитальный ремонт отдельных элементов МКД.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Работы (услуги) будут выполняться (оказываться) подрядной организацией в отношении объектов, указанных в ориентировочном адресном перечне, размещенном на сайте в информационно-коммуникационной сети «Интернет» </w:t>
            </w:r>
            <w:hyperlink r:id="rId20" w:tooltip="http://www.mjkh.nso.ru/page/724" w:history="1">
              <w:r>
                <w:rPr>
                  <w:rStyle w:val="769"/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http://www.mjkh.nso.ru/page/724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highlight w:val="white"/>
                <w:lang w:val="ru-RU" w:eastAsia="en-US" w:bidi="ar-SA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contextualSpacing/>
              <w:jc w:val="left"/>
              <w:spacing w:before="0" w:after="160" w:line="259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 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contextualSpacing/>
              <w:jc w:val="left"/>
              <w:spacing w:before="0" w:after="160" w:line="259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 Цена договора может быть снижена по соглашению сторон при уменьшении предусмотренных договором объемов услуг и (или)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contextualSpacing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 Изменение стоимости и объемов услуг и (или) работ производится при соблюдении заказчиком положений, установленных частью 5 статьи 189 Жилищного кодекса Российской Федерации. Иные положения договора изменению не подлежат.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 Порядок и сроки приемки выполненных работ (оказанных услуг)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 Для проверки соответствия качества и объемов выполненных работ (оказанных услуг),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Новосибирской области.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исполнения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Исполнение обязательств по договору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независимой гарантией, выданной в соответствии с требованиями, предусмотренными </w:t>
            </w:r>
            <w:hyperlink r:id="rId21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частью 1 статьи 45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Способ обеспечения исполнения обязательств по договору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Размер обеспечения исполнения договора указывается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Размер обеспечения исполнения договора не может превышать 30 (тридцать)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5. Обеспечение исполнения договора может быть установлено в размере, превышающем в 2 раза размер обеспечения его исполнения, указанный в документации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 проведении электронного аукциона, в случае, если при проведении электронного аукциона участником закупки, с которым заключается договор, предложена цена, которая на 20 и более процентов ниже начальной (максимальной) цены договора. Участник закупки также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обязан дополнительно представить Заказчику обоснован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6. Независимая гарантия оформляется в письменной форме на бумажном носителе или в форме электронного документа, подписанного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усиленной квалифицированной электронной подписью лица, имеющего право действовать от имени организации, выдавшей независимую гарантию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требован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(или) в случае расторжения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срок действия независимой гарантии должен превышать срок оказания услуг и (или) выполнения работ по договору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4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ind w:hanging="7"/>
              <w:jc w:val="left"/>
              <w:spacing w:before="0" w:after="0" w:line="240" w:lineRule="auto"/>
              <w:widowControl w:val="off"/>
              <w:tabs>
                <w:tab w:val="left" w:pos="608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Ответственность Заказчика и 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Условия договора, предусматривающие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Договор заключается Заказчиком в соответствии с Гражданским кодексом Российской Федерации и Положением.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Порядок заключения договора определяется Заказчиком в документации об электронном аукционе.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Предмет договора, место оказания услуг и (или) проведения работ, виды услуг и (или)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не могут изменяться в ходе его исполнения. Сроки оказания услуг и (или) выполнения работ по договору по соглашению сторон могут быть продлены на период действия одного из следующих обстоятельств при наличии документов, подтверждающих такие обстоятельства: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изменение объема оказываемых услуг и (или) выполняемых работ по до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говору по соглашению сторон при согласовании таких изменений собственниками помещений в МКД,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недопуск собственниками помещений в МКД подрядной организации к оказанию услуг и (или) выполнению работ по капитальному ремонту по причинам, не связанным с неисполнением или ненадлежащим исполнением такой организацией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приостановка оказания услуг и (или) выполнения работ по капитальному ремонту в связи с наступлением отопительного сезона и (или) неблагоприятных погодных условий.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При исполнении дог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овора не допускается перемена подрядной организации, за исключением случаев, если новая подрядная организация является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по инициативе Заказчика, в том числе в виде одностороннего расторжения договора, или подрядной организации (основания такого расторжения устанавливаются в договоре);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по решению суда по основаниям, предусмотренным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Заказчик вправе расторгнуть договор в одностороннем порядке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систематическое (2 раза и более) нарушение подрядной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задержка подрядной организацией начала выполнения работ более чем на 10 (десять) календарных дней по причинам, не зависящим от Заказчика или собственников помещений в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неоднократное (2 раза и более в течение одного календарного месяца) несоблюдение (отступление от 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ребований, предусмотренных договором,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прекращение членства подрядной организации в саморегулируемой организации, издание актов государственных органов в рамках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законодательства Российской Федерации, лишающих права подрядной организации на производство работ; е) нарушение подрядной организацией сроков оказания услуг и (или) выполнения работ продолжительностью более 30 (тридцати) календарных дней по любому из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ж) нарушение срока замены независимой гарантии, установленного договором, при отзыве лицензии, банкротстве или ликвидации гаранта более чем на 2 (два)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з) выявление Заказчи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ком после заключения договора факта недействительности представленной подрядной организацией независимой гарантии (представление поддельных документов, получение от гаранта опровержения выдачи независимой гарантии подрядной организации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и) неисполнение обязательства о продлении срока независимой гарантии при измен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ении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736"/>
        <w:ind w:left="10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 предмету последующего электронного аукциона «Оказание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Федерации»,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членство в саморегулируемых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ганизациях в области архитектурно-строительного проектирования. При этом указанное требование не применяется к участникам предварительного отбора, являющимся лицами, указанными в пункте 1 части 2.2 статьи 52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наличие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Участника лицензии на осуществление деятельности по сохранению объектов культурного наследия (памятников истории и культуры) народов Российской Федерации в соответствии с законодательством Российской Федерации о лицензировании отдельных видов деятельности;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отсутствие у Участника за 3 года, предшествующие дате окончани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я срока подачи заявок на участие в предварительном отборе, контракта или договора, в том числе заключенного в соответствии с Положением, по строительству, реконструкции и (или) капитальному ремонту объектов капитального строительства, относящихся к той же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группе услуг и (или)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неприостановление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отсутствие конфликта интересов, то есть случаев, при которых руководитель Заказчика, член комиссии по проведению предварительного отбора, комиссии по осуществлению закупок, должн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либо являются близкими родственниками (родственниками по прямой восходящей и нисходящей линии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понимаются физические лица, вл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адеющие напрямую или косвенно (через юридическое лицо или через несколько юридических лиц) более чем 10 (десятью) процентами голосующих акций хозяйственного общества либо долей, превышающей 10 (десять) процентов в уставном капитале хозяйственного общества;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Участника –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 наличие в штате у Участника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Приложении № 4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отбора, 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н) наличие у Участника за 3 года, предшествующие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контрактам и (или) договорам, предметом которых я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влялись строительство, реконструкция, капитальный ремонт зданий, являющихся объектами капитального строительства, ремонт (замена) лифтового оборудования, разработка проектной документации,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 минимальный размер стоимости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оказанных услуг и (или) выполненных работ по указанным исполненным контрактам и (или) договорам установлен в Приложении № 2 к Документации о проведении предварительного отбора в размере не более 10 процентов предельного размера обязательств по договорам по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дряда на подготовку проектной документации, в соответствии с которым указанным участником предварительного отбора, являющимся членом саморегулируемой организации, основанной на членстве лиц, выполняющих инженерные изыскания, или саморегулируемой организаци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и, основанной на членстве лиц, осуществляющих подготовку проектной документации,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н) отсутствие в отношении участника предварительного отбора решения об исключении подрядной организации из реестра квалифицированны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х подрядных организаций в случае установления одного из фактов, указанных в подпунктах "з" - "к" пункта 66 настоящего 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36"/>
        <w:ind w:firstLine="0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V. 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Приложения № 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ивидуальных предпринимателей или засвидетельствованная в нотариальном порядке копия такой выписки, полученная не ранее чем за 30 календарных дней до даты подачи Заявки,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копии учредительных документов Участника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копия засвидетельствованного в нотариальном порядке перевода на русский язык документо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Участника;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выписка из реестра лицензий на осуществление деятельности по сохранению объектов культурного наследия (памятников истории и культуры) народов Российской Федерации, представленная в форме электронного документа, подписанного усиленной квал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ифицированной электронной подписью лицензирующего органа либо в случае ведения указанного реестра лицензий в информационной системе, оператором которой является федеральный орган исполнительной власти, электронной подписью указанной информационной системы;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 копия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ки на участие в предварительном отборе, по форме, утвержденной уполномоченным органом, с отметкой 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документа;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штатно-списочный состав сотрудников (рекомендуется представлять в соответствии с формой, установленной в Приложении № 3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отбора);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копии трудовых книжек и (или) 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ведения о трудовой деятельности, предусмотренные статьей 66.1 Трудового кодекса Российской Федерации, копии дипломов, сертификатов, аттестатов и удостоверений, подтверждающих наличие у Участника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копии не менее 3 исполненных контрактов и (или) договоров, подтверждающих наличие у Участника, предусмотренного подпунктом «п»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пункта 23 Положения,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форме, установленной в Приложение № 5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м)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(рекомендуется представлять в соответствии с формой, установленной в Приложении № 6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36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Регистрация на электронной площадке, а также участие в предварительном отборе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Участник, подавший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В случае установления факта подачи одним Участником 2 (двух) и более Заявок при условии, что поданные ранее Заявки не отозваны, все Заявки такого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Каждая Заявка, поступившая в установленные сроки, регистрируется оператором электронной площадки, с присвоением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Установленные дата и время окончания срока подачи Заявок могут быть продлены Органом по ведению РКПО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left="142"/>
        <w:jc w:val="both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36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142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РКПО запрос о разъяснении Документации о проведении предварительного отбора (далее – Запрос).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left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17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февраля 2026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В случае если Запрос поступил в сроки, указанные в пункте 3 настоящего раздела, Орган по ведени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ю РКПО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В случае если Запрос поступил позднее даты, указанной в пункте 3 настоящего раздела, данный Запрос не рассматривается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Запрос должен быть подписан, усиленной квалифицированной электронной подписью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ind w:left="360"/>
        <w:jc w:val="both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ind w:left="360"/>
        <w:jc w:val="both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numPr>
          <w:ilvl w:val="0"/>
          <w:numId w:val="4"/>
        </w:numPr>
        <w:ind w:left="142" w:hanging="360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36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РКПО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РКПО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быть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нородными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numPr>
          <w:ilvl w:val="0"/>
          <w:numId w:val="2"/>
        </w:numPr>
        <w:contextualSpacing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36"/>
        <w:contextualSpacing/>
        <w:ind w:left="319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 в реестр квалифицированных подрядных организаций по иным основаниям, кроме случаев, указанных в пункте 2.7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 в течение 2 (двух) рабочих дней с даты принятия решения, указанного в подпункте «а» пункта 2.6 настоящего раздела, включает информацию об Участнике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36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36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невключении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формация о принятом решении, указанном в пункте 3.1 и 3.2 настоящего раздела, размещается Органом по ведению РКПО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РКПО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адрес электр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онной площадки в сети «Интернет»,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9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протоколе указывается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22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5670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  <w:tab/>
        <w:t xml:space="preserve">    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организаций)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1"/>
        </w:numPr>
        <w:ind w:left="0" w:firstLine="0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1"/>
        </w:numPr>
        <w:ind w:left="0" w:firstLine="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850"/>
        <w:jc w:val="both"/>
        <w:spacing w:before="0" w:after="0" w:line="240" w:lineRule="auto"/>
        <w:tabs>
          <w:tab w:val="left" w:pos="284" w:leader="none"/>
          <w:tab w:val="clear" w:pos="708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2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W w:w="9494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"/>
        <w:gridCol w:w="5318"/>
        <w:gridCol w:w="3613"/>
      </w:tblGrid>
      <w:tr>
        <w:tblPrEx/>
        <w:trPr>
          <w:trHeight w:val="3552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Предельный размер обязательств  по договорам 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одряда на подготовку проектной документации, в соответствии с которым указанным участником предварительного отбора, являющимся членом саморегулируемой организации, основанной на членстве лиц, выполняющих инженерные изыскания, или саморегулируемой организац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ии, основанной на членстве лиц, осуществляющих подготовку проектной документации,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613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25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2 % предельного размера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не превышает 50 миллионов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1 % предельного размера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не превышает 300 миллионов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13" w:type="dxa"/>
            <w:vMerge w:val="restart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0,3 % предельного размера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составляет 300 миллионов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73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pStyle w:val="736"/>
        <w:ind w:firstLine="540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  <w:sectPr>
          <w:headerReference w:type="default" r:id="rId10"/>
          <w:headerReference w:type="first" r:id="rId11"/>
          <w:footnotePr/>
          <w:endnotePr/>
          <w:type w:val="nextPage"/>
          <w:pgSz w:w="11906" w:h="16838" w:orient="portrait"/>
          <w:pgMar w:top="1134" w:right="567" w:bottom="1134" w:left="1418" w:header="708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pStyle w:val="736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3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3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36"/>
        <w:jc w:val="center"/>
        <w:spacing w:before="0"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pStyle w:val="736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Фамилия, Имя, Отчество (при наличии отчества) для индивидуального 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1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701"/>
        <w:gridCol w:w="1701"/>
        <w:gridCol w:w="2977"/>
        <w:gridCol w:w="3118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36"/>
              <w:ind w:firstLine="43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36"/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инженерных изысканий и архитектурно-строительного проектирования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6"/>
              <w:ind w:right="102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инженерных изысканий и 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pStyle w:val="736"/>
              <w:spacing w:before="0" w:after="160"/>
            </w:pPr>
            <w:r/>
            <w:r/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736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36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3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«Сведения о включении в реестр специалистов в области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инженерных изысканий и архитектурно-строительного проектирования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)» - ук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азываются сведения о наличии специалистов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рганизации строительства (главных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работы;</w:t>
      </w:r>
      <w:r>
        <w:rPr>
          <w:rFonts w:ascii="Times New Roman" w:hAnsi="Times New Roman" w:eastAsia="Times New Roman" w:cs="Times New Roman"/>
          <w:bCs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36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36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36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36"/>
        <w:ind w:firstLine="70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4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36"/>
        <w:ind w:firstLine="709"/>
        <w:jc w:val="right"/>
        <w:spacing w:before="0" w:after="0" w:line="240" w:lineRule="auto"/>
      </w:pPr>
      <w:r/>
      <w:r/>
    </w:p>
    <w:p>
      <w:pPr>
        <w:pStyle w:val="736"/>
        <w:ind w:firstLine="709"/>
        <w:jc w:val="center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4"/>
        <w:gridCol w:w="3066"/>
        <w:gridCol w:w="3650"/>
        <w:gridCol w:w="2577"/>
        <w:gridCol w:w="1639"/>
        <w:gridCol w:w="3112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предприниматель/руководитель юридического лица, самостоятельно организующие строительство</w:t>
            </w:r>
            <w:r/>
          </w:p>
          <w:p>
            <w:pPr>
              <w:pStyle w:val="736"/>
              <w:spacing w:before="0" w:after="16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инженерных изысканий и 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 юридического лица – специалист по организации по организации инженерных изысканий (главный инженер проектов), архитектурно-строительного проектирования (главных инженеров проектов, главных архитекторов проектов) </w:t>
            </w:r>
            <w:r/>
          </w:p>
          <w:p>
            <w:pPr>
              <w:pStyle w:val="73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pStyle w:val="73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36"/>
              <w:spacing w:before="0" w:after="16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pStyle w:val="73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инженерных изысканий и архитектурно-строительного проектирования</w:t>
            </w:r>
            <w:r/>
          </w:p>
          <w:p>
            <w:pPr>
              <w:pStyle w:val="736"/>
              <w:jc w:val="both"/>
              <w:spacing w:before="0" w:after="0" w:line="240" w:lineRule="auto"/>
            </w:pPr>
            <w:r/>
            <w:r/>
          </w:p>
          <w:p>
            <w:pPr>
              <w:pStyle w:val="73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2"/>
          <w:headerReference w:type="first" r:id="rId13"/>
          <w:footnotePr/>
          <w:endnotePr/>
          <w:type w:val="nextPage"/>
          <w:pgSz w:w="16838" w:h="11906" w:orient="landscape"/>
          <w:pgMar w:top="1418" w:right="1134" w:bottom="567" w:left="1134" w:header="708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4601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1"/>
        <w:gridCol w:w="1849"/>
        <w:gridCol w:w="1955"/>
        <w:gridCol w:w="1956"/>
        <w:gridCol w:w="2827"/>
        <w:gridCol w:w="2593"/>
        <w:gridCol w:w="2819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7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19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7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19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19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19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3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19" w:type="dxa"/>
            <w:textDirection w:val="lrTb"/>
            <w:noWrap w:val="false"/>
          </w:tcPr>
          <w:p>
            <w:pPr>
              <w:pStyle w:val="73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4"/>
          <w:headerReference w:type="first" r:id="rId15"/>
          <w:footnotePr/>
          <w:endnotePr/>
          <w:type w:val="nextPage"/>
          <w:pgSz w:w="16838" w:h="11906" w:orient="landscape"/>
          <w:pgMar w:top="1418" w:right="1134" w:bottom="567" w:left="1134" w:header="0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  <w:ind w:left="5812"/>
        <w:jc w:val="righ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736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73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7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</w:p>
    <w:p>
      <w:pPr>
        <w:pStyle w:val="73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3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7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3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</w:p>
    <w:p>
      <w:pPr>
        <w:pStyle w:val="7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3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</w:t>
      </w:r>
      <w:r>
        <w:rPr>
          <w:rFonts w:ascii="Times New Roman" w:hAnsi="Times New Roman" w:eastAsia="Times New Roman" w:cs="Times New Roman"/>
        </w:rPr>
        <w:t xml:space="preserve">, информированное, сознательное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</w:t>
      </w:r>
      <w:r>
        <w:rPr>
          <w:rFonts w:ascii="Times New Roman" w:hAnsi="Times New Roman" w:eastAsia="Times New Roman" w:cs="Times New Roman"/>
        </w:rPr>
        <w:t xml:space="preserve">е работ по капитальному ремонту общего имущества многоквартирных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Новосибирск, ул. Фрунзе, 5, оф. 639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«О порядке привлечения подря</w:t>
      </w:r>
      <w:r>
        <w:rPr>
          <w:rFonts w:ascii="Times New Roman" w:hAnsi="Times New Roman" w:eastAsia="Times New Roman" w:cs="Times New Roman"/>
        </w:rPr>
        <w:t xml:space="preserve">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некоммерческой организации, осущ</w:t>
      </w:r>
      <w:r>
        <w:rPr>
          <w:rFonts w:ascii="Times New Roman" w:hAnsi="Times New Roman" w:eastAsia="Times New Roman" w:cs="Times New Roman"/>
        </w:rPr>
        <w:t xml:space="preserve">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направленную на обеспечение </w:t>
      </w:r>
      <w:r>
        <w:rPr>
          <w:rFonts w:ascii="Times New Roman" w:hAnsi="Times New Roman" w:eastAsia="Times New Roman" w:cs="Times New Roman"/>
        </w:rPr>
        <w:t xml:space="preserve">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капитальному ремонту общего иму</w:t>
      </w:r>
      <w:r>
        <w:rPr>
          <w:rFonts w:ascii="Times New Roman" w:hAnsi="Times New Roman" w:eastAsia="Times New Roman" w:cs="Times New Roman"/>
        </w:rPr>
        <w:t xml:space="preserve">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оборудования)» (далее - Положение). </w:t>
      </w:r>
      <w:r>
        <w:rPr>
          <w:rFonts w:ascii="Times New Roman" w:hAnsi="Times New Roman" w:cs="Times New Roman"/>
        </w:rPr>
      </w:r>
    </w:p>
    <w:p>
      <w:pPr>
        <w:pStyle w:val="73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дата рождения, номер основног</w:t>
      </w:r>
      <w:r>
        <w:rPr>
          <w:rFonts w:ascii="Times New Roman" w:hAnsi="Times New Roman" w:eastAsia="Times New Roman" w:cs="Times New Roman"/>
        </w:rPr>
        <w:t xml:space="preserve">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 о трудовой деятельности. </w:t>
      </w:r>
      <w:r>
        <w:rPr>
          <w:rFonts w:ascii="Times New Roman" w:hAnsi="Times New Roman" w:cs="Times New Roman"/>
        </w:rPr>
      </w:r>
    </w:p>
    <w:p>
      <w:pPr>
        <w:pStyle w:val="73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</w:t>
      </w:r>
      <w:r>
        <w:rPr>
          <w:rFonts w:ascii="Times New Roman" w:hAnsi="Times New Roman" w:eastAsia="Times New Roman" w:cs="Times New Roman"/>
        </w:rPr>
        <w:t xml:space="preserve">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</w:p>
    <w:p>
      <w:pPr>
        <w:pStyle w:val="73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</w:p>
    <w:p>
      <w:pPr>
        <w:pStyle w:val="73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</w:p>
    <w:p>
      <w:pPr>
        <w:pStyle w:val="73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</w:p>
    <w:p>
      <w:pPr>
        <w:pStyle w:val="73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</w:p>
    <w:p>
      <w:pPr>
        <w:pStyle w:val="736"/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данных: </w:t>
      </w:r>
      <w:r>
        <w:rPr>
          <w:rFonts w:ascii="Times New Roman" w:hAnsi="Times New Roman" w:cs="Times New Roman"/>
          <w:highlight w:val="none"/>
        </w:rPr>
      </w:r>
    </w:p>
    <w:p>
      <w:pPr>
        <w:pStyle w:val="73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36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  <w:t xml:space="preserve">«           »          20     г. </w:t>
      </w:r>
      <w:r>
        <w:rPr>
          <w:rFonts w:ascii="Times New Roman" w:hAnsi="Times New Roman" w:cs="Times New Roman"/>
          <w:highlight w:val="none"/>
        </w:rPr>
      </w:r>
    </w:p>
    <w:p>
      <w:pPr>
        <w:pStyle w:val="736"/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36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</w:p>
    <w:p>
      <w:pPr>
        <w:pStyle w:val="736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pStyle w:val="736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36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36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36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3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36"/>
      </w:pPr>
      <w:r/>
      <w:r/>
    </w:p>
    <w:p>
      <w:pPr>
        <w:pStyle w:val="736"/>
        <w:ind w:left="5670"/>
        <w:jc w:val="right"/>
        <w:spacing w:before="0" w:after="0" w:line="240" w:lineRule="auto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36"/>
        <w:ind w:left="5670"/>
        <w:jc w:val="right"/>
        <w:spacing w:before="0" w:after="0" w:line="240" w:lineRule="auto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sectPr>
      <w:headerReference w:type="default" r:id="rId16"/>
      <w:footnotePr/>
      <w:endnotePr/>
      <w:type w:val="nextPage"/>
      <w:pgSz w:w="11906" w:h="16838" w:orient="portrait"/>
      <w:pgMar w:top="1134" w:right="567" w:bottom="1134" w:left="1418" w:header="708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0000709000000000000"/>
  </w:font>
  <w:font w:name="Mangal">
    <w:panose1 w:val="020405030504060302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17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8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20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8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23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818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26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8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2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36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37">
    <w:name w:val="Heading 1"/>
    <w:basedOn w:val="73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8">
    <w:name w:val="Heading 2"/>
    <w:basedOn w:val="7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9">
    <w:name w:val="Heading 3"/>
    <w:basedOn w:val="73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0">
    <w:name w:val="Heading 4"/>
    <w:basedOn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7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2">
    <w:name w:val="Heading 6"/>
    <w:basedOn w:val="7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3">
    <w:name w:val="Heading 7"/>
    <w:basedOn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4">
    <w:name w:val="Heading 8"/>
    <w:basedOn w:val="73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5">
    <w:name w:val="Heading 9"/>
    <w:basedOn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>
    <w:name w:val="Heading 1 Char"/>
    <w:basedOn w:val="768"/>
    <w:uiPriority w:val="9"/>
    <w:qFormat/>
    <w:rPr>
      <w:rFonts w:ascii="Arial" w:hAnsi="Arial" w:eastAsia="Arial" w:cs="Arial"/>
      <w:sz w:val="40"/>
      <w:szCs w:val="40"/>
    </w:rPr>
  </w:style>
  <w:style w:type="character" w:styleId="747">
    <w:name w:val="Heading 2 Char"/>
    <w:basedOn w:val="768"/>
    <w:uiPriority w:val="9"/>
    <w:qFormat/>
    <w:rPr>
      <w:rFonts w:ascii="Arial" w:hAnsi="Arial" w:eastAsia="Arial" w:cs="Arial"/>
      <w:sz w:val="34"/>
    </w:rPr>
  </w:style>
  <w:style w:type="character" w:styleId="748">
    <w:name w:val="Heading 3 Char"/>
    <w:basedOn w:val="768"/>
    <w:uiPriority w:val="9"/>
    <w:qFormat/>
    <w:rPr>
      <w:rFonts w:ascii="Arial" w:hAnsi="Arial" w:eastAsia="Arial" w:cs="Arial"/>
      <w:sz w:val="30"/>
      <w:szCs w:val="30"/>
    </w:rPr>
  </w:style>
  <w:style w:type="character" w:styleId="749">
    <w:name w:val="Heading 4 Char"/>
    <w:basedOn w:val="76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50">
    <w:name w:val="Heading 5 Char"/>
    <w:basedOn w:val="76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51">
    <w:name w:val="Heading 6 Char"/>
    <w:basedOn w:val="76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52">
    <w:name w:val="Heading 7 Char"/>
    <w:basedOn w:val="76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8 Char"/>
    <w:basedOn w:val="76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54">
    <w:name w:val="Heading 9 Char"/>
    <w:basedOn w:val="76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55">
    <w:name w:val="Title Char"/>
    <w:basedOn w:val="768"/>
    <w:uiPriority w:val="10"/>
    <w:qFormat/>
    <w:rPr>
      <w:sz w:val="48"/>
      <w:szCs w:val="48"/>
    </w:rPr>
  </w:style>
  <w:style w:type="character" w:styleId="756">
    <w:name w:val="Subtitle Char"/>
    <w:basedOn w:val="768"/>
    <w:uiPriority w:val="11"/>
    <w:qFormat/>
    <w:rPr>
      <w:sz w:val="24"/>
      <w:szCs w:val="24"/>
    </w:rPr>
  </w:style>
  <w:style w:type="character" w:styleId="757">
    <w:name w:val="Quote Char"/>
    <w:uiPriority w:val="29"/>
    <w:qFormat/>
    <w:rPr>
      <w:i/>
    </w:rPr>
  </w:style>
  <w:style w:type="character" w:styleId="758">
    <w:name w:val="Intense Quote Char"/>
    <w:uiPriority w:val="30"/>
    <w:qFormat/>
    <w:rPr>
      <w:i/>
    </w:rPr>
  </w:style>
  <w:style w:type="character" w:styleId="759">
    <w:name w:val="Header Char"/>
    <w:basedOn w:val="768"/>
    <w:uiPriority w:val="99"/>
    <w:qFormat/>
  </w:style>
  <w:style w:type="character" w:styleId="760">
    <w:name w:val="Footer Char"/>
    <w:basedOn w:val="768"/>
    <w:uiPriority w:val="99"/>
    <w:qFormat/>
  </w:style>
  <w:style w:type="character" w:styleId="761">
    <w:name w:val="Caption Char"/>
    <w:uiPriority w:val="99"/>
    <w:qFormat/>
  </w:style>
  <w:style w:type="character" w:styleId="762">
    <w:name w:val="Footnote Text Char"/>
    <w:uiPriority w:val="99"/>
    <w:qFormat/>
    <w:rPr>
      <w:sz w:val="18"/>
    </w:rPr>
  </w:style>
  <w:style w:type="character" w:styleId="763">
    <w:name w:val="Footnote Characters"/>
    <w:uiPriority w:val="99"/>
    <w:unhideWhenUsed/>
    <w:qFormat/>
    <w:rPr>
      <w:vertAlign w:val="superscript"/>
    </w:rPr>
  </w:style>
  <w:style w:type="character" w:styleId="764">
    <w:name w:val="footnote reference"/>
    <w:rPr>
      <w:vertAlign w:val="superscript"/>
    </w:rPr>
  </w:style>
  <w:style w:type="character" w:styleId="765">
    <w:name w:val="Endnote Text Char"/>
    <w:uiPriority w:val="99"/>
    <w:qFormat/>
    <w:rPr>
      <w:sz w:val="20"/>
    </w:rPr>
  </w:style>
  <w:style w:type="character" w:styleId="766">
    <w:name w:val="Endnote Characters"/>
    <w:uiPriority w:val="99"/>
    <w:semiHidden/>
    <w:unhideWhenUsed/>
    <w:qFormat/>
    <w:rPr>
      <w:vertAlign w:val="superscript"/>
    </w:rPr>
  </w:style>
  <w:style w:type="character" w:styleId="767">
    <w:name w:val="endnote reference"/>
    <w:rPr>
      <w:vertAlign w:val="superscript"/>
    </w:rPr>
  </w:style>
  <w:style w:type="character" w:styleId="768" w:default="1">
    <w:name w:val="Default Paragraph Font"/>
    <w:uiPriority w:val="1"/>
    <w:semiHidden/>
    <w:unhideWhenUsed/>
    <w:qFormat/>
  </w:style>
  <w:style w:type="character" w:styleId="769">
    <w:name w:val="Hyperlink"/>
    <w:basedOn w:val="768"/>
    <w:uiPriority w:val="99"/>
    <w:unhideWhenUsed/>
    <w:rPr>
      <w:color w:val="0563c1" w:themeColor="hyperlink"/>
      <w:u w:val="single"/>
    </w:rPr>
  </w:style>
  <w:style w:type="character" w:styleId="770" w:customStyle="1">
    <w:name w:val="Гипертекстовая ссылка"/>
    <w:basedOn w:val="768"/>
    <w:uiPriority w:val="99"/>
    <w:qFormat/>
    <w:rPr>
      <w:b/>
      <w:bCs/>
      <w:color w:val="106bbe"/>
    </w:rPr>
  </w:style>
  <w:style w:type="character" w:styleId="771">
    <w:name w:val="FollowedHyperlink"/>
    <w:basedOn w:val="768"/>
    <w:uiPriority w:val="99"/>
    <w:semiHidden/>
    <w:unhideWhenUsed/>
    <w:rPr>
      <w:color w:val="800080"/>
      <w:u w:val="single"/>
    </w:rPr>
  </w:style>
  <w:style w:type="character" w:styleId="772" w:customStyle="1">
    <w:name w:val="Верхний колонтитул Знак"/>
    <w:basedOn w:val="768"/>
    <w:uiPriority w:val="99"/>
    <w:qFormat/>
  </w:style>
  <w:style w:type="character" w:styleId="773" w:customStyle="1">
    <w:name w:val="Нижний колонтитул Знак"/>
    <w:basedOn w:val="768"/>
    <w:uiPriority w:val="99"/>
    <w:qFormat/>
  </w:style>
  <w:style w:type="character" w:styleId="774" w:customStyle="1">
    <w:name w:val="Текст выноски Знак"/>
    <w:basedOn w:val="768"/>
    <w:uiPriority w:val="99"/>
    <w:semiHidden/>
    <w:qFormat/>
    <w:rPr>
      <w:rFonts w:ascii="Tahoma" w:hAnsi="Tahoma" w:cs="Tahoma"/>
      <w:sz w:val="16"/>
      <w:szCs w:val="16"/>
    </w:rPr>
  </w:style>
  <w:style w:type="character" w:styleId="775" w:customStyle="1">
    <w:name w:val="ConsPlusNormal Знак"/>
    <w:qFormat/>
    <w:rPr>
      <w:rFonts w:ascii="Calibri" w:hAnsi="Calibri" w:eastAsia="Times New Roman" w:cs="Calibri"/>
      <w:szCs w:val="20"/>
      <w:lang w:eastAsia="ru-RU"/>
    </w:rPr>
  </w:style>
  <w:style w:type="paragraph" w:styleId="776">
    <w:name w:val="Heading"/>
    <w:basedOn w:val="736"/>
    <w:next w:val="77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77">
    <w:name w:val="Body Text"/>
    <w:basedOn w:val="736"/>
    <w:pPr>
      <w:spacing w:before="0" w:after="140" w:line="276" w:lineRule="auto"/>
    </w:pPr>
  </w:style>
  <w:style w:type="paragraph" w:styleId="778">
    <w:name w:val="List"/>
    <w:basedOn w:val="777"/>
    <w:rPr>
      <w:rFonts w:cs="Mangal"/>
    </w:rPr>
  </w:style>
  <w:style w:type="paragraph" w:styleId="779">
    <w:name w:val="Caption"/>
    <w:basedOn w:val="7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80">
    <w:name w:val="Index"/>
    <w:basedOn w:val="736"/>
    <w:qFormat/>
    <w:pPr>
      <w:suppressLineNumbers/>
    </w:pPr>
    <w:rPr>
      <w:rFonts w:cs="Mangal"/>
    </w:rPr>
  </w:style>
  <w:style w:type="paragraph" w:styleId="781">
    <w:name w:val="Title"/>
    <w:basedOn w:val="73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82">
    <w:name w:val="Subtitle"/>
    <w:basedOn w:val="736"/>
    <w:uiPriority w:val="11"/>
    <w:qFormat/>
    <w:pPr>
      <w:spacing w:before="200" w:after="200"/>
    </w:pPr>
    <w:rPr>
      <w:sz w:val="24"/>
      <w:szCs w:val="24"/>
    </w:rPr>
  </w:style>
  <w:style w:type="paragraph" w:styleId="783">
    <w:name w:val="Quote"/>
    <w:basedOn w:val="736"/>
    <w:uiPriority w:val="29"/>
    <w:qFormat/>
    <w:pPr>
      <w:ind w:left="720" w:right="720"/>
    </w:pPr>
    <w:rPr>
      <w:i/>
    </w:rPr>
  </w:style>
  <w:style w:type="paragraph" w:styleId="784">
    <w:name w:val="Intense Quote"/>
    <w:basedOn w:val="736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85">
    <w:name w:val="footnote text"/>
    <w:basedOn w:val="736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86">
    <w:name w:val="endnote text"/>
    <w:basedOn w:val="736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87">
    <w:name w:val="toc 1"/>
    <w:basedOn w:val="736"/>
    <w:uiPriority w:val="39"/>
    <w:unhideWhenUsed/>
    <w:pPr>
      <w:ind w:left="0" w:right="0" w:firstLine="0"/>
      <w:spacing w:before="0" w:after="57"/>
    </w:pPr>
  </w:style>
  <w:style w:type="paragraph" w:styleId="788">
    <w:name w:val="toc 2"/>
    <w:basedOn w:val="736"/>
    <w:uiPriority w:val="39"/>
    <w:unhideWhenUsed/>
    <w:pPr>
      <w:ind w:left="283" w:right="0" w:firstLine="0"/>
      <w:spacing w:before="0" w:after="57"/>
    </w:pPr>
  </w:style>
  <w:style w:type="paragraph" w:styleId="789">
    <w:name w:val="toc 3"/>
    <w:basedOn w:val="736"/>
    <w:uiPriority w:val="39"/>
    <w:unhideWhenUsed/>
    <w:pPr>
      <w:ind w:left="567" w:right="0" w:firstLine="0"/>
      <w:spacing w:before="0" w:after="57"/>
    </w:pPr>
  </w:style>
  <w:style w:type="paragraph" w:styleId="790">
    <w:name w:val="toc 4"/>
    <w:basedOn w:val="736"/>
    <w:uiPriority w:val="39"/>
    <w:unhideWhenUsed/>
    <w:pPr>
      <w:ind w:left="850" w:right="0" w:firstLine="0"/>
      <w:spacing w:before="0" w:after="57"/>
    </w:pPr>
  </w:style>
  <w:style w:type="paragraph" w:styleId="791">
    <w:name w:val="toc 5"/>
    <w:basedOn w:val="736"/>
    <w:uiPriority w:val="39"/>
    <w:unhideWhenUsed/>
    <w:pPr>
      <w:ind w:left="1134" w:right="0" w:firstLine="0"/>
      <w:spacing w:before="0" w:after="57"/>
    </w:pPr>
  </w:style>
  <w:style w:type="paragraph" w:styleId="792">
    <w:name w:val="toc 6"/>
    <w:basedOn w:val="736"/>
    <w:uiPriority w:val="39"/>
    <w:unhideWhenUsed/>
    <w:pPr>
      <w:ind w:left="1417" w:right="0" w:firstLine="0"/>
      <w:spacing w:before="0" w:after="57"/>
    </w:pPr>
  </w:style>
  <w:style w:type="paragraph" w:styleId="793">
    <w:name w:val="toc 7"/>
    <w:basedOn w:val="736"/>
    <w:uiPriority w:val="39"/>
    <w:unhideWhenUsed/>
    <w:pPr>
      <w:ind w:left="1701" w:right="0" w:firstLine="0"/>
      <w:spacing w:before="0" w:after="57"/>
    </w:pPr>
  </w:style>
  <w:style w:type="paragraph" w:styleId="794">
    <w:name w:val="toc 8"/>
    <w:basedOn w:val="736"/>
    <w:uiPriority w:val="39"/>
    <w:unhideWhenUsed/>
    <w:pPr>
      <w:ind w:left="1984" w:right="0" w:firstLine="0"/>
      <w:spacing w:before="0" w:after="57"/>
    </w:pPr>
  </w:style>
  <w:style w:type="paragraph" w:styleId="795">
    <w:name w:val="toc 9"/>
    <w:basedOn w:val="736"/>
    <w:uiPriority w:val="39"/>
    <w:unhideWhenUsed/>
    <w:pPr>
      <w:ind w:left="2268" w:right="0" w:firstLine="0"/>
      <w:spacing w:before="0" w:after="57"/>
    </w:pPr>
  </w:style>
  <w:style w:type="paragraph" w:styleId="796">
    <w:name w:val="Index Heading"/>
    <w:basedOn w:val="776"/>
  </w:style>
  <w:style w:type="paragraph" w:styleId="797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98">
    <w:name w:val="table of figures"/>
    <w:basedOn w:val="736"/>
    <w:uiPriority w:val="99"/>
    <w:unhideWhenUsed/>
    <w:pPr>
      <w:spacing w:before="0" w:after="0" w:afterAutospacing="0"/>
    </w:pPr>
  </w:style>
  <w:style w:type="paragraph" w:styleId="799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Arial" w:hAnsi="Arial" w:eastAsia="Times New Roman" w:cs="Arial" w:cstheme="minorBidi"/>
      <w:color w:val="auto"/>
      <w:sz w:val="24"/>
      <w:szCs w:val="24"/>
      <w:lang w:val="ru-RU" w:eastAsia="ru-RU" w:bidi="ar-SA"/>
    </w:rPr>
  </w:style>
  <w:style w:type="paragraph" w:styleId="800" w:customStyle="1">
    <w:name w:val="xl63"/>
    <w:basedOn w:val="736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801" w:customStyle="1">
    <w:name w:val="xl65"/>
    <w:basedOn w:val="736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802" w:customStyle="1">
    <w:name w:val="xl64"/>
    <w:basedOn w:val="736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803" w:customStyle="1">
    <w:name w:val="xl66"/>
    <w:basedOn w:val="736"/>
    <w:qFormat/>
    <w:pPr>
      <w:jc w:val="center"/>
      <w:spacing w:beforeAutospacing="1" w:afterAutospacing="1" w:line="240" w:lineRule="auto"/>
      <w:pBdr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804" w:customStyle="1">
    <w:name w:val="xl67"/>
    <w:basedOn w:val="736"/>
    <w:qFormat/>
    <w:pPr>
      <w:jc w:val="center"/>
      <w:spacing w:beforeAutospacing="1" w:afterAutospacing="1" w:line="240" w:lineRule="auto"/>
      <w:pBdr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05" w:customStyle="1">
    <w:name w:val="xl68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806" w:customStyle="1">
    <w:name w:val="xl69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807" w:customStyle="1">
    <w:name w:val="xl70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808" w:customStyle="1">
    <w:name w:val="xl71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809" w:customStyle="1">
    <w:name w:val="xl72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810" w:customStyle="1">
    <w:name w:val="xl73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811" w:customStyle="1">
    <w:name w:val="xl74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812" w:customStyle="1">
    <w:name w:val="xl75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13" w:customStyle="1">
    <w:name w:val="xl76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14" w:customStyle="1">
    <w:name w:val="xl77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815" w:customStyle="1">
    <w:name w:val="xl78"/>
    <w:basedOn w:val="73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816">
    <w:name w:val="List Paragraph"/>
    <w:basedOn w:val="736"/>
    <w:uiPriority w:val="34"/>
    <w:qFormat/>
    <w:pPr>
      <w:contextualSpacing/>
      <w:ind w:left="720"/>
      <w:spacing w:before="0" w:after="160"/>
    </w:pPr>
  </w:style>
  <w:style w:type="paragraph" w:styleId="817">
    <w:name w:val="Header and Footer"/>
    <w:basedOn w:val="736"/>
    <w:qFormat/>
  </w:style>
  <w:style w:type="paragraph" w:styleId="818">
    <w:name w:val="Header"/>
    <w:basedOn w:val="73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19">
    <w:name w:val="Footer"/>
    <w:basedOn w:val="73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20">
    <w:name w:val="Balloon Text"/>
    <w:basedOn w:val="736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21" w:customStyle="1">
    <w:name w:val="ConsPlusNormal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ru-RU" w:bidi="ar-SA"/>
    </w:rPr>
  </w:style>
  <w:style w:type="numbering" w:styleId="822" w:default="1">
    <w:name w:val="No List"/>
    <w:uiPriority w:val="99"/>
    <w:semiHidden/>
    <w:unhideWhenUsed/>
    <w:qFormat/>
  </w:style>
  <w:style w:type="table" w:styleId="51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customXml" Target="../customXml/item1.xml" /><Relationship Id="rId18" Type="http://schemas.openxmlformats.org/officeDocument/2006/relationships/hyperlink" Target="http://docs.cntd.ru/document/902192610" TargetMode="External"/><Relationship Id="rId19" Type="http://schemas.openxmlformats.org/officeDocument/2006/relationships/hyperlink" Target="http://docs.cntd.ru/document/902186281" TargetMode="External"/><Relationship Id="rId20" Type="http://schemas.openxmlformats.org/officeDocument/2006/relationships/hyperlink" Target="http://www.mjkh.nso.ru/page/724" TargetMode="External"/><Relationship Id="rId21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22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42C52-DF17-45DB-BBA2-E0EB3DAE6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pc004</dc:creator>
  <dc:description/>
  <dc:language>ru-RU</dc:language>
  <cp:revision>75</cp:revision>
  <dcterms:created xsi:type="dcterms:W3CDTF">2021-11-15T02:27:00Z</dcterms:created>
  <dcterms:modified xsi:type="dcterms:W3CDTF">2026-01-28T06:39:39Z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